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DA846" w14:textId="77777777" w:rsidR="007F1304" w:rsidRDefault="007F1304">
      <w:r>
        <w:separator/>
      </w:r>
    </w:p>
  </w:endnote>
  <w:endnote w:type="continuationSeparator" w:id="0">
    <w:p w14:paraId="325955A4" w14:textId="77777777" w:rsidR="007F1304" w:rsidRDefault="007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C1E7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44198" w14:textId="77777777" w:rsidR="007F1304" w:rsidRDefault="007F1304">
      <w:r>
        <w:separator/>
      </w:r>
    </w:p>
  </w:footnote>
  <w:footnote w:type="continuationSeparator" w:id="0">
    <w:p w14:paraId="0BA39829" w14:textId="77777777" w:rsidR="007F1304" w:rsidRDefault="007F1304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1E72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DE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C92A-78B7-41F0-8B10-88FBD61D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BB88791D</Template>
  <TotalTime>0</TotalTime>
  <Pages>3</Pages>
  <Words>997</Words>
  <Characters>5985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Konrad KG. Gucwa</cp:lastModifiedBy>
  <cp:revision>2</cp:revision>
  <cp:lastPrinted>2016-05-31T09:57:00Z</cp:lastPrinted>
  <dcterms:created xsi:type="dcterms:W3CDTF">2019-07-05T07:21:00Z</dcterms:created>
  <dcterms:modified xsi:type="dcterms:W3CDTF">2019-07-05T07:21:00Z</dcterms:modified>
</cp:coreProperties>
</file>